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E3" w:rsidRPr="00811F23" w:rsidRDefault="00B93EE3" w:rsidP="00B93EE3">
      <w:pPr>
        <w:pStyle w:val="ListParagraph"/>
        <w:numPr>
          <w:ilvl w:val="0"/>
          <w:numId w:val="5"/>
        </w:numPr>
      </w:pPr>
      <w:r>
        <w:t>Distinguish between</w:t>
      </w:r>
      <w:r w:rsidRPr="00811F23">
        <w:t xml:space="preserve"> innate and learned </w:t>
      </w:r>
      <w:proofErr w:type="spellStart"/>
      <w:r w:rsidRPr="00811F23">
        <w:t>behaviour</w:t>
      </w:r>
      <w:proofErr w:type="spellEnd"/>
      <w:r w:rsidRPr="00811F23">
        <w:t>:</w:t>
      </w:r>
    </w:p>
    <w:tbl>
      <w:tblPr>
        <w:tblStyle w:val="TableGrid"/>
        <w:tblW w:w="0" w:type="auto"/>
        <w:tblLook w:val="04A0" w:firstRow="1" w:lastRow="0" w:firstColumn="1" w:lastColumn="0" w:noHBand="0" w:noVBand="1"/>
      </w:tblPr>
      <w:tblGrid>
        <w:gridCol w:w="2744"/>
        <w:gridCol w:w="3312"/>
        <w:gridCol w:w="3294"/>
      </w:tblGrid>
      <w:tr w:rsidR="00B93EE3" w:rsidRPr="00811F23" w:rsidTr="009E1846">
        <w:tc>
          <w:tcPr>
            <w:tcW w:w="2808" w:type="dxa"/>
            <w:tcBorders>
              <w:top w:val="nil"/>
              <w:left w:val="nil"/>
            </w:tcBorders>
            <w:vAlign w:val="center"/>
          </w:tcPr>
          <w:p w:rsidR="00B93EE3" w:rsidRPr="00811F23" w:rsidRDefault="00B93EE3" w:rsidP="009E1846">
            <w:pPr>
              <w:jc w:val="center"/>
            </w:pPr>
          </w:p>
        </w:tc>
        <w:tc>
          <w:tcPr>
            <w:tcW w:w="3384" w:type="dxa"/>
            <w:vAlign w:val="center"/>
          </w:tcPr>
          <w:p w:rsidR="00B93EE3" w:rsidRPr="00811F23" w:rsidRDefault="00B93EE3" w:rsidP="009E1846">
            <w:pPr>
              <w:jc w:val="center"/>
              <w:rPr>
                <w:b/>
              </w:rPr>
            </w:pPr>
            <w:r w:rsidRPr="00811F23">
              <w:rPr>
                <w:b/>
              </w:rPr>
              <w:t>Innate</w:t>
            </w:r>
          </w:p>
        </w:tc>
        <w:tc>
          <w:tcPr>
            <w:tcW w:w="3384" w:type="dxa"/>
            <w:vAlign w:val="center"/>
          </w:tcPr>
          <w:p w:rsidR="00B93EE3" w:rsidRPr="00811F23" w:rsidRDefault="00B93EE3" w:rsidP="009E1846">
            <w:pPr>
              <w:jc w:val="center"/>
              <w:rPr>
                <w:b/>
              </w:rPr>
            </w:pPr>
            <w:r w:rsidRPr="00811F23">
              <w:rPr>
                <w:b/>
              </w:rPr>
              <w:t>Learned</w:t>
            </w:r>
          </w:p>
        </w:tc>
      </w:tr>
      <w:tr w:rsidR="00B93EE3" w:rsidRPr="00811F23" w:rsidTr="009E1846">
        <w:trPr>
          <w:trHeight w:val="440"/>
        </w:trPr>
        <w:tc>
          <w:tcPr>
            <w:tcW w:w="2808" w:type="dxa"/>
            <w:vAlign w:val="center"/>
          </w:tcPr>
          <w:p w:rsidR="00B93EE3" w:rsidRPr="00811F23" w:rsidRDefault="00B93EE3" w:rsidP="009E1846">
            <w:pPr>
              <w:jc w:val="center"/>
              <w:rPr>
                <w:sz w:val="20"/>
              </w:rPr>
            </w:pPr>
            <w:r w:rsidRPr="00811F23">
              <w:rPr>
                <w:sz w:val="20"/>
              </w:rPr>
              <w:t>Basis/ foundation?</w:t>
            </w:r>
          </w:p>
        </w:tc>
        <w:tc>
          <w:tcPr>
            <w:tcW w:w="3384" w:type="dxa"/>
            <w:vAlign w:val="center"/>
          </w:tcPr>
          <w:p w:rsidR="00B93EE3" w:rsidRPr="001D746B" w:rsidRDefault="00B93EE3" w:rsidP="009E1846">
            <w:pPr>
              <w:jc w:val="center"/>
              <w:rPr>
                <w:i/>
                <w:color w:val="FF0000"/>
              </w:rPr>
            </w:pPr>
            <w:r w:rsidRPr="001D746B">
              <w:rPr>
                <w:i/>
                <w:color w:val="FF0000"/>
              </w:rPr>
              <w:t>Genetic (predetermined)</w:t>
            </w:r>
          </w:p>
        </w:tc>
        <w:tc>
          <w:tcPr>
            <w:tcW w:w="3384" w:type="dxa"/>
            <w:vAlign w:val="center"/>
          </w:tcPr>
          <w:p w:rsidR="00B93EE3" w:rsidRPr="001D746B" w:rsidRDefault="00B93EE3" w:rsidP="009E1846">
            <w:pPr>
              <w:jc w:val="center"/>
              <w:rPr>
                <w:i/>
                <w:color w:val="FF0000"/>
              </w:rPr>
            </w:pPr>
            <w:r w:rsidRPr="001D746B">
              <w:rPr>
                <w:i/>
                <w:color w:val="FF0000"/>
              </w:rPr>
              <w:t xml:space="preserve">Based on experience. </w:t>
            </w:r>
            <w:sdt>
              <w:sdtPr>
                <w:rPr>
                  <w:i/>
                  <w:color w:val="FF0000"/>
                  <w:vertAlign w:val="superscript"/>
                </w:rPr>
                <w:id w:val="-1906367453"/>
                <w:citation/>
              </w:sdtPr>
              <w:sdtContent>
                <w:r w:rsidRPr="001D746B">
                  <w:rPr>
                    <w:i/>
                    <w:color w:val="FF0000"/>
                    <w:vertAlign w:val="superscript"/>
                  </w:rPr>
                  <w:fldChar w:fldCharType="begin"/>
                </w:r>
                <w:r w:rsidRPr="001D746B">
                  <w:rPr>
                    <w:i/>
                    <w:color w:val="FF0000"/>
                    <w:vertAlign w:val="superscript"/>
                  </w:rPr>
                  <w:instrText xml:space="preserve"> CITATION Ste104 \l 1033 </w:instrText>
                </w:r>
                <w:r w:rsidRPr="001D746B">
                  <w:rPr>
                    <w:i/>
                    <w:color w:val="FF0000"/>
                    <w:vertAlign w:val="superscript"/>
                  </w:rPr>
                  <w:fldChar w:fldCharType="separate"/>
                </w:r>
                <w:r w:rsidRPr="001D746B">
                  <w:rPr>
                    <w:noProof/>
                    <w:color w:val="FF0000"/>
                    <w:vertAlign w:val="superscript"/>
                  </w:rPr>
                  <w:t>(1)</w:t>
                </w:r>
                <w:r w:rsidRPr="001D746B">
                  <w:rPr>
                    <w:i/>
                    <w:color w:val="FF0000"/>
                    <w:vertAlign w:val="superscript"/>
                  </w:rPr>
                  <w:fldChar w:fldCharType="end"/>
                </w:r>
              </w:sdtContent>
            </w:sdt>
          </w:p>
        </w:tc>
      </w:tr>
      <w:tr w:rsidR="00B93EE3" w:rsidRPr="00811F23" w:rsidTr="009E1846">
        <w:trPr>
          <w:trHeight w:val="530"/>
        </w:trPr>
        <w:tc>
          <w:tcPr>
            <w:tcW w:w="2808" w:type="dxa"/>
            <w:vAlign w:val="center"/>
          </w:tcPr>
          <w:p w:rsidR="00B93EE3" w:rsidRPr="00811F23" w:rsidRDefault="00B93EE3" w:rsidP="009E1846">
            <w:pPr>
              <w:jc w:val="center"/>
              <w:rPr>
                <w:sz w:val="20"/>
              </w:rPr>
            </w:pPr>
            <w:r w:rsidRPr="00811F23">
              <w:rPr>
                <w:sz w:val="20"/>
              </w:rPr>
              <w:t>Modification by the individual?</w:t>
            </w:r>
          </w:p>
        </w:tc>
        <w:tc>
          <w:tcPr>
            <w:tcW w:w="3384" w:type="dxa"/>
            <w:vAlign w:val="center"/>
          </w:tcPr>
          <w:p w:rsidR="00B93EE3" w:rsidRPr="00811F23" w:rsidRDefault="00B93EE3" w:rsidP="009E1846">
            <w:pPr>
              <w:jc w:val="center"/>
            </w:pPr>
          </w:p>
        </w:tc>
        <w:tc>
          <w:tcPr>
            <w:tcW w:w="3384" w:type="dxa"/>
            <w:vAlign w:val="center"/>
          </w:tcPr>
          <w:p w:rsidR="00B93EE3" w:rsidRPr="00811F23" w:rsidRDefault="00B93EE3" w:rsidP="009E1846">
            <w:pPr>
              <w:jc w:val="center"/>
            </w:pPr>
          </w:p>
        </w:tc>
      </w:tr>
      <w:tr w:rsidR="00B93EE3" w:rsidRPr="00811F23" w:rsidTr="009E1846">
        <w:trPr>
          <w:trHeight w:val="710"/>
        </w:trPr>
        <w:tc>
          <w:tcPr>
            <w:tcW w:w="2808" w:type="dxa"/>
            <w:vAlign w:val="center"/>
          </w:tcPr>
          <w:p w:rsidR="00B93EE3" w:rsidRPr="00811F23" w:rsidRDefault="00B93EE3" w:rsidP="009E1846">
            <w:pPr>
              <w:jc w:val="center"/>
              <w:rPr>
                <w:sz w:val="20"/>
              </w:rPr>
            </w:pPr>
            <w:r w:rsidRPr="00811F23">
              <w:rPr>
                <w:sz w:val="20"/>
              </w:rPr>
              <w:t>Variation within population?</w:t>
            </w:r>
          </w:p>
        </w:tc>
        <w:tc>
          <w:tcPr>
            <w:tcW w:w="3384" w:type="dxa"/>
            <w:vAlign w:val="center"/>
          </w:tcPr>
          <w:p w:rsidR="00B93EE3" w:rsidRPr="00811F23" w:rsidRDefault="00B93EE3" w:rsidP="009E1846">
            <w:pPr>
              <w:jc w:val="center"/>
            </w:pPr>
          </w:p>
        </w:tc>
        <w:tc>
          <w:tcPr>
            <w:tcW w:w="3384" w:type="dxa"/>
            <w:vAlign w:val="center"/>
          </w:tcPr>
          <w:p w:rsidR="00B93EE3" w:rsidRPr="00811F23" w:rsidRDefault="00B93EE3" w:rsidP="009E1846">
            <w:pPr>
              <w:jc w:val="center"/>
            </w:pPr>
          </w:p>
        </w:tc>
      </w:tr>
      <w:tr w:rsidR="00B93EE3" w:rsidRPr="00811F23" w:rsidTr="009E1846">
        <w:trPr>
          <w:trHeight w:val="800"/>
        </w:trPr>
        <w:tc>
          <w:tcPr>
            <w:tcW w:w="2808" w:type="dxa"/>
            <w:vAlign w:val="center"/>
          </w:tcPr>
          <w:p w:rsidR="00B93EE3" w:rsidRPr="00811F23" w:rsidRDefault="00B93EE3" w:rsidP="009E1846">
            <w:pPr>
              <w:jc w:val="center"/>
              <w:rPr>
                <w:sz w:val="20"/>
              </w:rPr>
            </w:pPr>
            <w:r w:rsidRPr="00811F23">
              <w:rPr>
                <w:sz w:val="20"/>
              </w:rPr>
              <w:t>Effect of environment</w:t>
            </w:r>
          </w:p>
        </w:tc>
        <w:tc>
          <w:tcPr>
            <w:tcW w:w="3384" w:type="dxa"/>
            <w:vAlign w:val="center"/>
          </w:tcPr>
          <w:p w:rsidR="00B93EE3" w:rsidRPr="00811F23" w:rsidRDefault="00B93EE3" w:rsidP="009E1846">
            <w:pPr>
              <w:jc w:val="center"/>
            </w:pPr>
          </w:p>
        </w:tc>
        <w:tc>
          <w:tcPr>
            <w:tcW w:w="3384" w:type="dxa"/>
            <w:vAlign w:val="center"/>
          </w:tcPr>
          <w:p w:rsidR="00B93EE3" w:rsidRPr="00811F23" w:rsidRDefault="00B93EE3" w:rsidP="009E1846">
            <w:pPr>
              <w:jc w:val="center"/>
            </w:pPr>
          </w:p>
        </w:tc>
      </w:tr>
      <w:tr w:rsidR="00B93EE3" w:rsidRPr="00811F23" w:rsidTr="009E1846">
        <w:trPr>
          <w:trHeight w:val="890"/>
        </w:trPr>
        <w:tc>
          <w:tcPr>
            <w:tcW w:w="2808" w:type="dxa"/>
            <w:vAlign w:val="center"/>
          </w:tcPr>
          <w:p w:rsidR="00B93EE3" w:rsidRPr="00811F23" w:rsidRDefault="00B93EE3" w:rsidP="009E1846">
            <w:pPr>
              <w:jc w:val="center"/>
              <w:rPr>
                <w:sz w:val="20"/>
              </w:rPr>
            </w:pPr>
            <w:r w:rsidRPr="00811F23">
              <w:rPr>
                <w:sz w:val="20"/>
              </w:rPr>
              <w:t xml:space="preserve">Effect of </w:t>
            </w:r>
            <w:r w:rsidRPr="00811F23">
              <w:rPr>
                <w:b/>
                <w:sz w:val="20"/>
              </w:rPr>
              <w:t>natural selection</w:t>
            </w:r>
          </w:p>
        </w:tc>
        <w:tc>
          <w:tcPr>
            <w:tcW w:w="3384" w:type="dxa"/>
            <w:vAlign w:val="center"/>
          </w:tcPr>
          <w:p w:rsidR="00B93EE3" w:rsidRPr="00811F23" w:rsidRDefault="00B93EE3" w:rsidP="009E1846">
            <w:pPr>
              <w:jc w:val="center"/>
            </w:pPr>
          </w:p>
        </w:tc>
        <w:tc>
          <w:tcPr>
            <w:tcW w:w="3384" w:type="dxa"/>
            <w:vAlign w:val="center"/>
          </w:tcPr>
          <w:p w:rsidR="00B93EE3" w:rsidRPr="00811F23" w:rsidRDefault="00B93EE3" w:rsidP="009E1846">
            <w:pPr>
              <w:jc w:val="center"/>
            </w:pPr>
          </w:p>
        </w:tc>
      </w:tr>
      <w:tr w:rsidR="00B93EE3" w:rsidRPr="00811F23" w:rsidTr="009E1846">
        <w:trPr>
          <w:trHeight w:val="800"/>
        </w:trPr>
        <w:tc>
          <w:tcPr>
            <w:tcW w:w="2808" w:type="dxa"/>
            <w:vAlign w:val="center"/>
          </w:tcPr>
          <w:p w:rsidR="00B93EE3" w:rsidRPr="00811F23" w:rsidRDefault="00B93EE3" w:rsidP="009E1846">
            <w:pPr>
              <w:jc w:val="center"/>
              <w:rPr>
                <w:sz w:val="20"/>
              </w:rPr>
            </w:pPr>
            <w:r w:rsidRPr="00811F23">
              <w:rPr>
                <w:sz w:val="20"/>
              </w:rPr>
              <w:t>Human examples</w:t>
            </w:r>
          </w:p>
        </w:tc>
        <w:tc>
          <w:tcPr>
            <w:tcW w:w="3384" w:type="dxa"/>
            <w:vAlign w:val="center"/>
          </w:tcPr>
          <w:p w:rsidR="00B93EE3" w:rsidRPr="00811F23" w:rsidRDefault="00B93EE3" w:rsidP="009E1846">
            <w:pPr>
              <w:jc w:val="center"/>
            </w:pPr>
          </w:p>
        </w:tc>
        <w:tc>
          <w:tcPr>
            <w:tcW w:w="3384" w:type="dxa"/>
            <w:vAlign w:val="center"/>
          </w:tcPr>
          <w:p w:rsidR="00B93EE3" w:rsidRPr="00811F23" w:rsidRDefault="00B93EE3" w:rsidP="009E1846">
            <w:pPr>
              <w:jc w:val="center"/>
            </w:pPr>
          </w:p>
        </w:tc>
      </w:tr>
      <w:tr w:rsidR="00B93EE3" w:rsidRPr="00811F23" w:rsidTr="009E1846">
        <w:trPr>
          <w:trHeight w:val="890"/>
        </w:trPr>
        <w:tc>
          <w:tcPr>
            <w:tcW w:w="2808" w:type="dxa"/>
            <w:vAlign w:val="center"/>
          </w:tcPr>
          <w:p w:rsidR="00B93EE3" w:rsidRPr="00811F23" w:rsidRDefault="00B93EE3" w:rsidP="009E1846">
            <w:pPr>
              <w:jc w:val="center"/>
              <w:rPr>
                <w:sz w:val="20"/>
              </w:rPr>
            </w:pPr>
            <w:r w:rsidRPr="00811F23">
              <w:rPr>
                <w:sz w:val="20"/>
              </w:rPr>
              <w:t>Non-human examples</w:t>
            </w:r>
          </w:p>
        </w:tc>
        <w:tc>
          <w:tcPr>
            <w:tcW w:w="3384" w:type="dxa"/>
            <w:vAlign w:val="center"/>
          </w:tcPr>
          <w:p w:rsidR="00B93EE3" w:rsidRPr="00811F23" w:rsidRDefault="00B93EE3" w:rsidP="009E1846">
            <w:pPr>
              <w:jc w:val="center"/>
            </w:pPr>
          </w:p>
        </w:tc>
        <w:tc>
          <w:tcPr>
            <w:tcW w:w="3384" w:type="dxa"/>
            <w:vAlign w:val="center"/>
          </w:tcPr>
          <w:p w:rsidR="00B93EE3" w:rsidRPr="00811F23" w:rsidRDefault="00B93EE3" w:rsidP="009E1846">
            <w:pPr>
              <w:jc w:val="center"/>
            </w:pPr>
          </w:p>
        </w:tc>
      </w:tr>
    </w:tbl>
    <w:p w:rsidR="00B93EE3" w:rsidRPr="00811F23" w:rsidRDefault="00B93EE3" w:rsidP="00B93EE3"/>
    <w:p w:rsidR="00B93EE3" w:rsidRPr="00811F23" w:rsidRDefault="00B93EE3" w:rsidP="00B93EE3">
      <w:pPr>
        <w:pStyle w:val="ListParagraph"/>
        <w:numPr>
          <w:ilvl w:val="0"/>
          <w:numId w:val="5"/>
        </w:numPr>
      </w:pPr>
      <w:r w:rsidRPr="00811F23">
        <w:rPr>
          <w:b/>
        </w:rPr>
        <w:t>TOK and Biology:</w:t>
      </w:r>
      <w:r w:rsidRPr="00811F23">
        <w:t xml:space="preserve"> To what extent are human </w:t>
      </w:r>
      <w:proofErr w:type="spellStart"/>
      <w:r w:rsidRPr="00811F23">
        <w:t>behaviours</w:t>
      </w:r>
      <w:proofErr w:type="spellEnd"/>
      <w:r w:rsidRPr="00811F23">
        <w:t xml:space="preserve"> innate or the product of learning?</w:t>
      </w:r>
    </w:p>
    <w:p w:rsidR="00B93EE3" w:rsidRPr="00811F23" w:rsidRDefault="00B93EE3" w:rsidP="00B93EE3">
      <w:pPr>
        <w:pStyle w:val="ListParagraph"/>
        <w:ind w:left="1080" w:firstLine="45"/>
      </w:pPr>
      <w:r w:rsidRPr="00811F23">
        <w:t xml:space="preserve">Watch the video clip on </w:t>
      </w:r>
      <w:hyperlink r:id="rId6" w:history="1">
        <w:r w:rsidRPr="00811F23">
          <w:rPr>
            <w:rStyle w:val="Hyperlink"/>
          </w:rPr>
          <w:t>Facial Expressions from the California Academy of Sciences</w:t>
        </w:r>
      </w:hyperlink>
      <w:r w:rsidRPr="00811F23">
        <w:t xml:space="preserve">: </w:t>
      </w:r>
      <w:r>
        <w:t xml:space="preserve">          </w:t>
      </w:r>
      <w:r w:rsidRPr="00811F23">
        <w:rPr>
          <w:sz w:val="20"/>
        </w:rPr>
        <w:t>(</w:t>
      </w:r>
      <w:hyperlink r:id="rId7" w:history="1">
        <w:r w:rsidRPr="00811F23">
          <w:rPr>
            <w:rStyle w:val="Hyperlink"/>
            <w:sz w:val="20"/>
          </w:rPr>
          <w:t>http://www.youtube.com/watch?v=5G6ZR5lJgTI</w:t>
        </w:r>
      </w:hyperlink>
      <w:r w:rsidRPr="00811F23">
        <w:rPr>
          <w:sz w:val="20"/>
        </w:rPr>
        <w:t>)</w:t>
      </w:r>
    </w:p>
    <w:p w:rsidR="00B93EE3" w:rsidRPr="00811F23" w:rsidRDefault="00B93EE3" w:rsidP="00B93EE3">
      <w:pPr>
        <w:pStyle w:val="ListParagraph"/>
        <w:numPr>
          <w:ilvl w:val="0"/>
          <w:numId w:val="1"/>
        </w:numPr>
      </w:pPr>
      <w:r w:rsidRPr="00811F23">
        <w:t xml:space="preserve">What was the research question of the investigation? </w:t>
      </w:r>
    </w:p>
    <w:p w:rsidR="00B93EE3" w:rsidRPr="00811F23" w:rsidRDefault="00B93EE3" w:rsidP="00B93EE3">
      <w:pPr>
        <w:pStyle w:val="ListParagraph"/>
        <w:ind w:left="1080"/>
      </w:pPr>
    </w:p>
    <w:p w:rsidR="00B93EE3" w:rsidRPr="00811F23" w:rsidRDefault="00B93EE3" w:rsidP="00B93EE3">
      <w:pPr>
        <w:pStyle w:val="ListParagraph"/>
        <w:ind w:left="1080"/>
      </w:pPr>
    </w:p>
    <w:p w:rsidR="00B93EE3" w:rsidRPr="00811F23" w:rsidRDefault="00B93EE3" w:rsidP="00B93EE3">
      <w:pPr>
        <w:pStyle w:val="ListParagraph"/>
        <w:numPr>
          <w:ilvl w:val="0"/>
          <w:numId w:val="1"/>
        </w:numPr>
      </w:pPr>
      <w:r w:rsidRPr="00811F23">
        <w:t xml:space="preserve">What is the effect of the observer on lab-based studies of </w:t>
      </w:r>
      <w:proofErr w:type="spellStart"/>
      <w:r w:rsidRPr="00811F23">
        <w:t>behaviour</w:t>
      </w:r>
      <w:proofErr w:type="spellEnd"/>
      <w:r w:rsidRPr="00811F23">
        <w:t xml:space="preserve">? </w:t>
      </w:r>
    </w:p>
    <w:p w:rsidR="00B93EE3" w:rsidRPr="00811F23" w:rsidRDefault="00B93EE3" w:rsidP="00B93EE3"/>
    <w:p w:rsidR="00B93EE3" w:rsidRPr="00811F23" w:rsidRDefault="00B93EE3" w:rsidP="00B93EE3">
      <w:pPr>
        <w:pStyle w:val="ListParagraph"/>
        <w:numPr>
          <w:ilvl w:val="0"/>
          <w:numId w:val="1"/>
        </w:numPr>
      </w:pPr>
      <w:r w:rsidRPr="00811F23">
        <w:t xml:space="preserve">Why did the blind Olympians provide a good model for research? </w:t>
      </w:r>
    </w:p>
    <w:p w:rsidR="00B93EE3" w:rsidRDefault="00B93EE3" w:rsidP="00B93EE3">
      <w:pPr>
        <w:pStyle w:val="ListParagraph"/>
      </w:pPr>
    </w:p>
    <w:p w:rsidR="00B93EE3" w:rsidRPr="00811F23" w:rsidRDefault="00B93EE3" w:rsidP="00B93EE3">
      <w:pPr>
        <w:pStyle w:val="ListParagraph"/>
      </w:pPr>
    </w:p>
    <w:p w:rsidR="00B93EE3" w:rsidRDefault="00B93EE3" w:rsidP="00B93EE3">
      <w:pPr>
        <w:pStyle w:val="ListParagraph"/>
        <w:numPr>
          <w:ilvl w:val="0"/>
          <w:numId w:val="1"/>
        </w:numPr>
      </w:pPr>
      <w:r w:rsidRPr="00811F23">
        <w:t>What conclusions could be drawn in the study? Why?</w:t>
      </w:r>
    </w:p>
    <w:p w:rsidR="00B93EE3" w:rsidRDefault="00B93EE3" w:rsidP="00B93EE3">
      <w:pPr>
        <w:ind w:left="720"/>
      </w:pPr>
      <w:bookmarkStart w:id="0" w:name="_GoBack"/>
      <w:bookmarkEnd w:id="0"/>
    </w:p>
    <w:p w:rsidR="00B93EE3" w:rsidRPr="00811F23" w:rsidRDefault="00B93EE3" w:rsidP="00B93EE3">
      <w:pPr>
        <w:ind w:left="720"/>
      </w:pPr>
      <w:r w:rsidRPr="00811F23">
        <w:t xml:space="preserve">Explain how innate </w:t>
      </w:r>
      <w:proofErr w:type="spellStart"/>
      <w:r w:rsidRPr="00811F23">
        <w:t>behaviours</w:t>
      </w:r>
      <w:proofErr w:type="spellEnd"/>
      <w:r w:rsidRPr="00811F23">
        <w:t xml:space="preserve"> are the product of </w:t>
      </w:r>
      <w:r w:rsidRPr="00B93EE3">
        <w:rPr>
          <w:i/>
        </w:rPr>
        <w:t>natural selection</w:t>
      </w:r>
      <w:r w:rsidRPr="00811F23">
        <w:t xml:space="preserve">. </w:t>
      </w:r>
    </w:p>
    <w:p w:rsidR="00B93EE3" w:rsidRPr="00811F23" w:rsidRDefault="00B93EE3" w:rsidP="00B93EE3"/>
    <w:p w:rsidR="00B93EE3" w:rsidRPr="00811F23" w:rsidRDefault="00B93EE3" w:rsidP="00B93EE3"/>
    <w:p w:rsidR="00B93EE3" w:rsidRPr="00811F23" w:rsidRDefault="00B93EE3" w:rsidP="00B93EE3"/>
    <w:p w:rsidR="00B93EE3" w:rsidRPr="00811F23" w:rsidRDefault="00B93EE3" w:rsidP="00B93EE3"/>
    <w:p w:rsidR="00B93EE3" w:rsidRPr="00811F23" w:rsidRDefault="00B93EE3" w:rsidP="00B93EE3">
      <w:pPr>
        <w:pStyle w:val="ListParagraph"/>
        <w:numPr>
          <w:ilvl w:val="0"/>
          <w:numId w:val="5"/>
        </w:numPr>
      </w:pPr>
      <w:r w:rsidRPr="00811F23">
        <w:t xml:space="preserve">Define </w:t>
      </w:r>
      <w:r w:rsidRPr="00811F23">
        <w:rPr>
          <w:i/>
        </w:rPr>
        <w:t>learning</w:t>
      </w:r>
      <w:r w:rsidRPr="00811F23">
        <w:t xml:space="preserve">. </w:t>
      </w:r>
    </w:p>
    <w:p w:rsidR="00B93EE3" w:rsidRPr="00811F23" w:rsidRDefault="00B93EE3" w:rsidP="00B93EE3"/>
    <w:p w:rsidR="00B93EE3" w:rsidRPr="00811F23" w:rsidRDefault="00B93EE3" w:rsidP="00B93EE3">
      <w:pPr>
        <w:pStyle w:val="ListParagraph"/>
        <w:numPr>
          <w:ilvl w:val="0"/>
          <w:numId w:val="5"/>
        </w:numPr>
      </w:pPr>
      <w:r w:rsidRPr="00811F23">
        <w:t xml:space="preserve">Discuss how the process of learning can improve chances of survival, with reference to non-human examples. </w:t>
      </w:r>
    </w:p>
    <w:p w:rsidR="00B93EE3" w:rsidRPr="00811F23" w:rsidRDefault="00B93EE3" w:rsidP="00B93EE3">
      <w:pPr>
        <w:pStyle w:val="ListParagraph"/>
      </w:pPr>
    </w:p>
    <w:p w:rsidR="00B93EE3" w:rsidRPr="00811F23" w:rsidRDefault="00B93EE3" w:rsidP="00B93EE3"/>
    <w:p w:rsidR="00B93EE3" w:rsidRPr="00811F23" w:rsidRDefault="00B93EE3" w:rsidP="00B93EE3"/>
    <w:p w:rsidR="00B93EE3" w:rsidRPr="00811F23" w:rsidRDefault="00B93EE3" w:rsidP="00B93EE3"/>
    <w:p w:rsidR="00B93EE3" w:rsidRPr="00811F23" w:rsidRDefault="00B93EE3" w:rsidP="00B93EE3"/>
    <w:p w:rsidR="00B93EE3" w:rsidRPr="00811F23" w:rsidRDefault="00B93EE3" w:rsidP="00B93EE3"/>
    <w:p w:rsidR="00B93EE3" w:rsidRPr="00811F23" w:rsidRDefault="00B93EE3" w:rsidP="00B93EE3">
      <w:pPr>
        <w:pStyle w:val="ListParagraph"/>
        <w:numPr>
          <w:ilvl w:val="0"/>
          <w:numId w:val="5"/>
        </w:numPr>
      </w:pPr>
      <w:r w:rsidRPr="00811F23">
        <w:t xml:space="preserve">Distinguish between these methods of associative learning: </w:t>
      </w:r>
    </w:p>
    <w:p w:rsidR="00B93EE3" w:rsidRPr="00811F23" w:rsidRDefault="00B93EE3" w:rsidP="00B93EE3">
      <w:pPr>
        <w:ind w:left="720"/>
        <w:rPr>
          <w:i/>
        </w:rPr>
      </w:pPr>
      <w:r w:rsidRPr="00811F23">
        <w:rPr>
          <w:i/>
        </w:rPr>
        <w:t>Classical conditioning</w:t>
      </w:r>
    </w:p>
    <w:p w:rsidR="00B93EE3" w:rsidRPr="00811F23" w:rsidRDefault="00B93EE3" w:rsidP="00B93EE3">
      <w:pPr>
        <w:ind w:left="720"/>
        <w:rPr>
          <w:i/>
          <w:sz w:val="10"/>
        </w:rPr>
      </w:pPr>
    </w:p>
    <w:p w:rsidR="00B93EE3" w:rsidRPr="00811F23" w:rsidRDefault="00B93EE3" w:rsidP="00B93EE3">
      <w:pPr>
        <w:ind w:left="720"/>
        <w:rPr>
          <w:i/>
        </w:rPr>
      </w:pPr>
      <w:r w:rsidRPr="00811F23">
        <w:rPr>
          <w:i/>
        </w:rPr>
        <w:t>Operant conditioning</w:t>
      </w:r>
    </w:p>
    <w:p w:rsidR="00B93EE3" w:rsidRPr="00811F23" w:rsidRDefault="00B93EE3" w:rsidP="00B93EE3">
      <w:pPr>
        <w:ind w:left="720"/>
        <w:rPr>
          <w:i/>
          <w:sz w:val="4"/>
        </w:rPr>
      </w:pPr>
    </w:p>
    <w:p w:rsidR="00B93EE3" w:rsidRPr="00811F23" w:rsidRDefault="00B93EE3" w:rsidP="00B93EE3">
      <w:pPr>
        <w:ind w:left="720"/>
        <w:rPr>
          <w:i/>
        </w:rPr>
      </w:pPr>
      <w:r w:rsidRPr="00811F23">
        <w:rPr>
          <w:i/>
        </w:rPr>
        <w:t>Imprinting</w:t>
      </w:r>
    </w:p>
    <w:p w:rsidR="00B93EE3" w:rsidRPr="00811F23" w:rsidRDefault="00B93EE3" w:rsidP="00B93EE3">
      <w:pPr>
        <w:ind w:left="720"/>
      </w:pPr>
    </w:p>
    <w:p w:rsidR="00B93EE3" w:rsidRPr="00811F23" w:rsidRDefault="00B93EE3" w:rsidP="00B93EE3">
      <w:pPr>
        <w:ind w:left="720"/>
      </w:pPr>
    </w:p>
    <w:p w:rsidR="00B93EE3" w:rsidRPr="00811F23" w:rsidRDefault="00B93EE3" w:rsidP="00B93EE3">
      <w:pPr>
        <w:pStyle w:val="ListParagraph"/>
        <w:numPr>
          <w:ilvl w:val="0"/>
          <w:numId w:val="5"/>
        </w:numPr>
      </w:pPr>
      <w:r w:rsidRPr="00811F23">
        <w:t xml:space="preserve">Outline Pavlov’s experiments into classical conditioning, with reference to the terms </w:t>
      </w:r>
      <w:r w:rsidRPr="00811F23">
        <w:rPr>
          <w:i/>
        </w:rPr>
        <w:t>unconditioned stimulus, conditioned stimulus, unconditioned response</w:t>
      </w:r>
      <w:r w:rsidRPr="00811F23">
        <w:t xml:space="preserve"> and </w:t>
      </w:r>
      <w:r w:rsidRPr="00811F23">
        <w:rPr>
          <w:i/>
        </w:rPr>
        <w:t>conditioned response</w:t>
      </w:r>
      <w:r w:rsidRPr="00811F23">
        <w:t xml:space="preserve">. </w:t>
      </w:r>
    </w:p>
    <w:p w:rsidR="00B93EE3" w:rsidRPr="00811F23" w:rsidRDefault="00B93EE3" w:rsidP="00B93EE3">
      <w:pPr>
        <w:pStyle w:val="ListParagraph"/>
      </w:pPr>
    </w:p>
    <w:p w:rsidR="00B93EE3" w:rsidRPr="00811F23" w:rsidRDefault="00B93EE3" w:rsidP="00B93EE3">
      <w:pPr>
        <w:pStyle w:val="ListParagraph"/>
      </w:pPr>
    </w:p>
    <w:p w:rsidR="00B93EE3" w:rsidRPr="00811F23" w:rsidRDefault="00B93EE3" w:rsidP="00B93EE3">
      <w:pPr>
        <w:pStyle w:val="ListParagraph"/>
      </w:pPr>
    </w:p>
    <w:p w:rsidR="00B93EE3" w:rsidRPr="00811F23" w:rsidRDefault="00B93EE3" w:rsidP="00B93EE3">
      <w:pPr>
        <w:pStyle w:val="ListParagraph"/>
      </w:pPr>
    </w:p>
    <w:p w:rsidR="00B93EE3" w:rsidRPr="00811F23" w:rsidRDefault="00B93EE3" w:rsidP="00B93EE3">
      <w:pPr>
        <w:pStyle w:val="ListParagraph"/>
      </w:pPr>
    </w:p>
    <w:p w:rsidR="00B93EE3" w:rsidRPr="00811F23" w:rsidRDefault="00B93EE3" w:rsidP="00B93EE3">
      <w:pPr>
        <w:pStyle w:val="ListParagraph"/>
      </w:pPr>
    </w:p>
    <w:p w:rsidR="00B93EE3" w:rsidRPr="00811F23" w:rsidRDefault="00B93EE3" w:rsidP="00B93EE3">
      <w:pPr>
        <w:pStyle w:val="ListParagraph"/>
      </w:pPr>
    </w:p>
    <w:p w:rsidR="00B93EE3" w:rsidRPr="00811F23" w:rsidRDefault="00B93EE3" w:rsidP="00B93EE3"/>
    <w:p w:rsidR="00B93EE3" w:rsidRPr="00811F23" w:rsidRDefault="00B93EE3" w:rsidP="00B93EE3">
      <w:pPr>
        <w:pStyle w:val="ListParagraph"/>
      </w:pPr>
    </w:p>
    <w:p w:rsidR="00B93EE3" w:rsidRPr="00811F23" w:rsidRDefault="00B93EE3" w:rsidP="00B93EE3">
      <w:pPr>
        <w:pStyle w:val="ListParagraph"/>
      </w:pPr>
    </w:p>
    <w:p w:rsidR="00B93EE3" w:rsidRPr="00811F23" w:rsidRDefault="00B93EE3" w:rsidP="00B93EE3">
      <w:pPr>
        <w:pStyle w:val="ListParagraph"/>
      </w:pPr>
    </w:p>
    <w:p w:rsidR="00B93EE3" w:rsidRPr="00811F23" w:rsidRDefault="00B93EE3" w:rsidP="00B93EE3">
      <w:pPr>
        <w:pStyle w:val="ListParagraph"/>
        <w:numPr>
          <w:ilvl w:val="0"/>
          <w:numId w:val="5"/>
        </w:numPr>
      </w:pPr>
      <w:r w:rsidRPr="00811F23">
        <w:rPr>
          <w:b/>
        </w:rPr>
        <w:t>Birdsong</w:t>
      </w:r>
      <w:r w:rsidRPr="00811F23">
        <w:t xml:space="preserve"> is in part innate and in part learned </w:t>
      </w:r>
      <w:proofErr w:type="spellStart"/>
      <w:r w:rsidRPr="00811F23">
        <w:t>behaviour</w:t>
      </w:r>
      <w:proofErr w:type="spellEnd"/>
      <w:r w:rsidRPr="00811F23">
        <w:t xml:space="preserve">. </w:t>
      </w:r>
    </w:p>
    <w:p w:rsidR="00B93EE3" w:rsidRPr="00811F23" w:rsidRDefault="00B93EE3" w:rsidP="00B93EE3">
      <w:pPr>
        <w:pStyle w:val="ListParagraph"/>
        <w:numPr>
          <w:ilvl w:val="0"/>
          <w:numId w:val="3"/>
        </w:numPr>
      </w:pPr>
      <w:r w:rsidRPr="00811F23">
        <w:t xml:space="preserve">Outline the function of birdsong with regard to </w:t>
      </w:r>
      <w:r w:rsidRPr="00811F23">
        <w:rPr>
          <w:i/>
        </w:rPr>
        <w:t>sexual selection</w:t>
      </w:r>
      <w:r w:rsidRPr="00811F23">
        <w:t>.</w:t>
      </w:r>
    </w:p>
    <w:p w:rsidR="00B93EE3" w:rsidRPr="00811F23" w:rsidRDefault="00B93EE3" w:rsidP="00B93EE3"/>
    <w:p w:rsidR="00B93EE3" w:rsidRPr="00811F23" w:rsidRDefault="00B93EE3" w:rsidP="00B93EE3"/>
    <w:p w:rsidR="00B93EE3" w:rsidRPr="00811F23" w:rsidRDefault="00B93EE3" w:rsidP="00B93EE3"/>
    <w:p w:rsidR="00B93EE3" w:rsidRPr="00811F23" w:rsidRDefault="00B93EE3" w:rsidP="00B93EE3">
      <w:pPr>
        <w:pStyle w:val="ListParagraph"/>
        <w:numPr>
          <w:ilvl w:val="0"/>
          <w:numId w:val="3"/>
        </w:numPr>
      </w:pPr>
      <w:r w:rsidRPr="00811F23">
        <w:t xml:space="preserve">Distinguish between the innate and learned components of birdsong development. </w:t>
      </w:r>
    </w:p>
    <w:p w:rsidR="00B93EE3" w:rsidRPr="00811F23" w:rsidRDefault="00B93EE3" w:rsidP="00B93EE3">
      <w:pPr>
        <w:ind w:left="1080" w:firstLine="360"/>
      </w:pPr>
      <w:r w:rsidRPr="00811F23">
        <w:t>Innate (</w:t>
      </w:r>
      <w:r w:rsidRPr="00811F23">
        <w:rPr>
          <w:i/>
        </w:rPr>
        <w:t>template song</w:t>
      </w:r>
      <w:r w:rsidRPr="00811F23">
        <w:t>)</w:t>
      </w:r>
    </w:p>
    <w:p w:rsidR="00B93EE3" w:rsidRPr="00811F23" w:rsidRDefault="00B93EE3" w:rsidP="00B93EE3">
      <w:pPr>
        <w:ind w:left="1080"/>
      </w:pPr>
      <w:r>
        <w:tab/>
      </w:r>
    </w:p>
    <w:p w:rsidR="00B93EE3" w:rsidRPr="00811F23" w:rsidRDefault="00B93EE3" w:rsidP="00B93EE3">
      <w:pPr>
        <w:ind w:left="1080" w:firstLine="360"/>
      </w:pPr>
      <w:r w:rsidRPr="00811F23">
        <w:t>Learned</w:t>
      </w:r>
    </w:p>
    <w:p w:rsidR="00B93EE3" w:rsidRPr="00811F23" w:rsidRDefault="00B93EE3" w:rsidP="00B93EE3">
      <w:pPr>
        <w:ind w:left="1080"/>
      </w:pPr>
    </w:p>
    <w:p w:rsidR="00B93EE3" w:rsidRPr="00811F23" w:rsidRDefault="00B93EE3" w:rsidP="00B93EE3">
      <w:pPr>
        <w:pStyle w:val="ListParagraph"/>
        <w:numPr>
          <w:ilvl w:val="0"/>
          <w:numId w:val="3"/>
        </w:numPr>
      </w:pPr>
      <w:r w:rsidRPr="00811F23">
        <w:t xml:space="preserve">Explain how </w:t>
      </w:r>
      <w:r w:rsidRPr="00811F23">
        <w:rPr>
          <w:i/>
        </w:rPr>
        <w:t>imprinting</w:t>
      </w:r>
      <w:r w:rsidRPr="00811F23">
        <w:t xml:space="preserve"> is vital in the learned part of birdsong development. </w:t>
      </w:r>
    </w:p>
    <w:p w:rsidR="00B93EE3" w:rsidRPr="00811F23" w:rsidRDefault="00B93EE3" w:rsidP="00B93EE3"/>
    <w:p w:rsidR="00B93EE3" w:rsidRPr="00811F23" w:rsidRDefault="00B93EE3" w:rsidP="00B93EE3"/>
    <w:p w:rsidR="00B93EE3" w:rsidRPr="00811F23" w:rsidRDefault="00B93EE3" w:rsidP="00B93EE3"/>
    <w:p w:rsidR="00B93EE3" w:rsidRPr="00811F23" w:rsidRDefault="00B93EE3" w:rsidP="00B93EE3"/>
    <w:p w:rsidR="00B93EE3" w:rsidRPr="00811F23" w:rsidRDefault="00B93EE3" w:rsidP="00B93EE3">
      <w:pPr>
        <w:pStyle w:val="ListParagraph"/>
        <w:numPr>
          <w:ilvl w:val="0"/>
          <w:numId w:val="3"/>
        </w:numPr>
      </w:pPr>
      <w:r w:rsidRPr="00811F23">
        <w:t xml:space="preserve">Birds raised in captivity are not exposed to adult songs or regional dialects of their own songs. Explain why they will not be reproductively successful if released into the wild. </w:t>
      </w:r>
    </w:p>
    <w:p w:rsidR="00B93EE3" w:rsidRPr="00811F23" w:rsidRDefault="00B93EE3" w:rsidP="00B93EE3"/>
    <w:p w:rsidR="00B93EE3" w:rsidRPr="00811F23" w:rsidRDefault="00B93EE3" w:rsidP="00B93EE3"/>
    <w:p w:rsidR="00B93EE3" w:rsidRPr="00811F23" w:rsidRDefault="00B93EE3" w:rsidP="00B93EE3"/>
    <w:p w:rsidR="00B93EE3" w:rsidRPr="00811F23" w:rsidRDefault="00B93EE3" w:rsidP="00B93EE3">
      <w:pPr>
        <w:pStyle w:val="ListParagraph"/>
        <w:numPr>
          <w:ilvl w:val="0"/>
          <w:numId w:val="3"/>
        </w:numPr>
      </w:pPr>
      <w:r w:rsidRPr="00811F23">
        <w:t xml:space="preserve">Suggest methods by which captive-reared birds might acquire fully-formed, regional adult birdsongs with help from their human keepers. </w:t>
      </w:r>
    </w:p>
    <w:p w:rsidR="00B93EE3" w:rsidRPr="00811F23" w:rsidRDefault="00B93EE3" w:rsidP="00B93EE3"/>
    <w:p w:rsidR="00B93EE3" w:rsidRPr="00811F23" w:rsidRDefault="00B93EE3" w:rsidP="00B93EE3"/>
    <w:p w:rsidR="00B93EE3" w:rsidRPr="00811F23" w:rsidRDefault="00B93EE3" w:rsidP="00B93EE3"/>
    <w:p w:rsidR="00B93EE3" w:rsidRPr="00811F23" w:rsidRDefault="00B93EE3" w:rsidP="00B93EE3"/>
    <w:p w:rsidR="00B93EE3" w:rsidRPr="00E817FC" w:rsidRDefault="00B93EE3" w:rsidP="00B93EE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cs="Times New Roman"/>
        </w:rPr>
      </w:pPr>
      <w:r w:rsidRPr="00E817FC">
        <w:rPr>
          <w:rFonts w:cs="Times New Roman"/>
          <w:i/>
        </w:rPr>
        <w:t xml:space="preserve">Questions 12 and 13 taken from the </w:t>
      </w:r>
      <w:proofErr w:type="spellStart"/>
      <w:r w:rsidRPr="00E817FC">
        <w:rPr>
          <w:rFonts w:cs="Times New Roman"/>
          <w:i/>
        </w:rPr>
        <w:t>QuestionBank</w:t>
      </w:r>
      <w:proofErr w:type="spellEnd"/>
      <w:r w:rsidRPr="00E817FC">
        <w:rPr>
          <w:rFonts w:cs="Times New Roman"/>
          <w:i/>
        </w:rPr>
        <w:t xml:space="preserve"> CD Rom</w:t>
      </w:r>
      <w:r>
        <w:rPr>
          <w:rFonts w:cs="Times New Roman"/>
        </w:rPr>
        <w:t xml:space="preserve">. </w:t>
      </w:r>
      <w:r w:rsidRPr="00E817FC">
        <w:rPr>
          <w:i/>
        </w:rPr>
        <w:t xml:space="preserve"> </w:t>
      </w:r>
    </w:p>
    <w:p w:rsidR="00B93EE3" w:rsidRPr="00E817FC" w:rsidRDefault="00B93EE3" w:rsidP="00B93EE3">
      <w:pPr>
        <w:pStyle w:val="ListParagraph"/>
        <w:numPr>
          <w:ilvl w:val="0"/>
          <w:numId w:val="5"/>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right="567"/>
        <w:rPr>
          <w:rFonts w:cs="Times New Roman"/>
          <w:sz w:val="21"/>
          <w:szCs w:val="21"/>
        </w:rPr>
      </w:pPr>
      <w:r w:rsidRPr="00E817FC">
        <w:rPr>
          <w:rFonts w:cs="Times New Roman"/>
          <w:sz w:val="21"/>
          <w:szCs w:val="21"/>
        </w:rPr>
        <w:t>Banded wrens (</w:t>
      </w:r>
      <w:proofErr w:type="spellStart"/>
      <w:r w:rsidRPr="00E817FC">
        <w:rPr>
          <w:rFonts w:cs="Times New Roman"/>
          <w:i/>
          <w:iCs/>
          <w:sz w:val="21"/>
          <w:szCs w:val="21"/>
        </w:rPr>
        <w:t>Thryothorus</w:t>
      </w:r>
      <w:proofErr w:type="spellEnd"/>
      <w:r w:rsidRPr="00E817FC">
        <w:rPr>
          <w:rFonts w:cs="Times New Roman"/>
          <w:i/>
          <w:iCs/>
          <w:sz w:val="21"/>
          <w:szCs w:val="21"/>
        </w:rPr>
        <w:t xml:space="preserve"> </w:t>
      </w:r>
      <w:proofErr w:type="spellStart"/>
      <w:r w:rsidRPr="00E817FC">
        <w:rPr>
          <w:rFonts w:cs="Times New Roman"/>
          <w:i/>
          <w:iCs/>
          <w:sz w:val="21"/>
          <w:szCs w:val="21"/>
        </w:rPr>
        <w:t>pleurostictus</w:t>
      </w:r>
      <w:proofErr w:type="spellEnd"/>
      <w:r w:rsidRPr="00E817FC">
        <w:rPr>
          <w:rFonts w:cs="Times New Roman"/>
          <w:sz w:val="21"/>
          <w:szCs w:val="21"/>
        </w:rPr>
        <w:t xml:space="preserve">) are known to sing actively in </w:t>
      </w:r>
      <w:proofErr w:type="spellStart"/>
      <w:r w:rsidRPr="00E817FC">
        <w:rPr>
          <w:rFonts w:cs="Times New Roman"/>
          <w:sz w:val="21"/>
          <w:szCs w:val="21"/>
        </w:rPr>
        <w:t>defence</w:t>
      </w:r>
      <w:proofErr w:type="spellEnd"/>
      <w:r w:rsidRPr="00E817FC">
        <w:rPr>
          <w:rFonts w:cs="Times New Roman"/>
          <w:sz w:val="21"/>
          <w:szCs w:val="21"/>
        </w:rPr>
        <w:t xml:space="preserve"> of their territories during the breeding season. Males possess over twenty different song-types. When two males approach each other near a boundary they engage in counter-singing and some song-types will be shared. The following diagram shows the pattern of song-types used during an interaction between two males at their territorial boundary in the Guanacaste Conservation Area, Costa Rica. The arrows indicate when both males sang identical song-types in succession. The interaction ended without a fight when the males retreated from the boundary.</w:t>
      </w:r>
    </w:p>
    <w:p w:rsidR="00B93EE3" w:rsidRPr="00811F23" w:rsidRDefault="00B93EE3" w:rsidP="00B93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jc w:val="center"/>
        <w:rPr>
          <w:rFonts w:cs="Times New Roman"/>
        </w:rPr>
      </w:pPr>
      <w:r w:rsidRPr="00811F23">
        <w:rPr>
          <w:rFonts w:cs="Times New Roman"/>
          <w:noProof/>
        </w:rPr>
        <w:drawing>
          <wp:inline distT="0" distB="0" distL="0" distR="0" wp14:anchorId="62C2C591" wp14:editId="65223E17">
            <wp:extent cx="4876800" cy="22002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905040" cy="2213016"/>
                    </a:xfrm>
                    <a:prstGeom prst="rect">
                      <a:avLst/>
                    </a:prstGeom>
                    <a:noFill/>
                    <a:ln w="9525">
                      <a:noFill/>
                      <a:miter lim="800000"/>
                      <a:headEnd/>
                      <a:tailEnd/>
                    </a:ln>
                  </pic:spPr>
                </pic:pic>
              </a:graphicData>
            </a:graphic>
          </wp:inline>
        </w:drawing>
      </w:r>
    </w:p>
    <w:p w:rsidR="00B93EE3" w:rsidRPr="00811F23" w:rsidRDefault="00B93EE3" w:rsidP="00B93EE3">
      <w:pPr>
        <w:spacing w:after="0"/>
        <w:rPr>
          <w:sz w:val="2"/>
        </w:rPr>
      </w:pPr>
    </w:p>
    <w:p w:rsidR="00B93EE3" w:rsidRPr="00FF4C95" w:rsidRDefault="00B93EE3" w:rsidP="00B93EE3">
      <w:pPr>
        <w:pStyle w:val="ListParagraph"/>
        <w:numPr>
          <w:ilvl w:val="0"/>
          <w:numId w:val="4"/>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right="567"/>
        <w:rPr>
          <w:rFonts w:cs="Times New Roman"/>
        </w:rPr>
      </w:pPr>
      <w:r w:rsidRPr="00FF4C95">
        <w:rPr>
          <w:rFonts w:cs="Times New Roman"/>
        </w:rPr>
        <w:t>Identify which song-types are shared between both males.</w:t>
      </w:r>
    </w:p>
    <w:p w:rsidR="00B93EE3" w:rsidRPr="00811F23" w:rsidRDefault="00B93EE3" w:rsidP="00B93EE3">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r w:rsidRPr="00811F23">
        <w:rPr>
          <w:rFonts w:cs="Times New Roman"/>
        </w:rPr>
        <w:t>.........................................................................................................................................</w:t>
      </w:r>
    </w:p>
    <w:p w:rsidR="00B93EE3" w:rsidRPr="00811F23" w:rsidRDefault="00B93EE3" w:rsidP="00B93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r w:rsidRPr="00811F23">
        <w:rPr>
          <w:rFonts w:cs="Times New Roman"/>
          <w:b/>
          <w:bCs/>
          <w:sz w:val="20"/>
          <w:szCs w:val="20"/>
        </w:rPr>
        <w:t>(2)</w:t>
      </w:r>
    </w:p>
    <w:p w:rsidR="00B93EE3" w:rsidRPr="00811F23" w:rsidRDefault="00B93EE3" w:rsidP="00B93EE3">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cs="Times New Roman"/>
        </w:rPr>
      </w:pPr>
      <w:r>
        <w:rPr>
          <w:rFonts w:cs="Times New Roman"/>
        </w:rPr>
        <w:t xml:space="preserve">b. </w:t>
      </w:r>
      <w:r w:rsidRPr="00811F23">
        <w:rPr>
          <w:rFonts w:cs="Times New Roman"/>
        </w:rPr>
        <w:tab/>
        <w:t>Describe the changes in the song-type pattern during the entire interaction.</w:t>
      </w:r>
    </w:p>
    <w:p w:rsidR="00B93EE3" w:rsidRPr="00811F23" w:rsidRDefault="00B93EE3" w:rsidP="00B93EE3">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r w:rsidRPr="00811F23">
        <w:rPr>
          <w:rFonts w:cs="Times New Roman"/>
        </w:rPr>
        <w:t>.........................................................................................................................................</w:t>
      </w:r>
    </w:p>
    <w:p w:rsidR="00B93EE3" w:rsidRPr="00811F23" w:rsidRDefault="00B93EE3" w:rsidP="00B93EE3">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r w:rsidRPr="00811F23">
        <w:rPr>
          <w:rFonts w:cs="Times New Roman"/>
        </w:rPr>
        <w:t>.........................................................................................................................................</w:t>
      </w:r>
    </w:p>
    <w:p w:rsidR="00B93EE3" w:rsidRPr="00811F23" w:rsidRDefault="00B93EE3" w:rsidP="00B93EE3">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r w:rsidRPr="00811F23">
        <w:rPr>
          <w:rFonts w:cs="Times New Roman"/>
        </w:rPr>
        <w:t>.........................................................................................................................................</w:t>
      </w:r>
    </w:p>
    <w:p w:rsidR="00B93EE3" w:rsidRPr="00811F23" w:rsidRDefault="00B93EE3" w:rsidP="00B93EE3">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jc w:val="right"/>
        <w:rPr>
          <w:rFonts w:cs="Times New Roman"/>
          <w:b/>
          <w:bCs/>
          <w:sz w:val="20"/>
          <w:szCs w:val="20"/>
        </w:rPr>
      </w:pPr>
      <w:r w:rsidRPr="00811F23">
        <w:rPr>
          <w:rFonts w:cs="Times New Roman"/>
          <w:b/>
          <w:bCs/>
          <w:sz w:val="20"/>
          <w:szCs w:val="20"/>
        </w:rPr>
        <w:t xml:space="preserve"> (2)</w:t>
      </w:r>
    </w:p>
    <w:p w:rsidR="00B93EE3" w:rsidRPr="00811F23" w:rsidRDefault="00B93EE3" w:rsidP="00B93EE3">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cs="Times New Roman"/>
        </w:rPr>
      </w:pPr>
      <w:r>
        <w:rPr>
          <w:rFonts w:cs="Times New Roman"/>
        </w:rPr>
        <w:t xml:space="preserve">c. </w:t>
      </w:r>
      <w:r w:rsidRPr="00811F23">
        <w:rPr>
          <w:rFonts w:cs="Times New Roman"/>
        </w:rPr>
        <w:tab/>
        <w:t xml:space="preserve">Deduce how a male banded wren can communicate aggressive </w:t>
      </w:r>
      <w:proofErr w:type="spellStart"/>
      <w:r w:rsidRPr="00811F23">
        <w:rPr>
          <w:rFonts w:cs="Times New Roman"/>
        </w:rPr>
        <w:t>behaviour</w:t>
      </w:r>
      <w:proofErr w:type="spellEnd"/>
      <w:r w:rsidRPr="00811F23">
        <w:rPr>
          <w:rFonts w:cs="Times New Roman"/>
        </w:rPr>
        <w:t>.</w:t>
      </w:r>
    </w:p>
    <w:p w:rsidR="00B93EE3" w:rsidRPr="00811F23" w:rsidRDefault="00B93EE3" w:rsidP="00B93EE3">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r w:rsidRPr="00811F23">
        <w:rPr>
          <w:rFonts w:cs="Times New Roman"/>
        </w:rPr>
        <w:t>.........................................................................................................................................</w:t>
      </w:r>
    </w:p>
    <w:p w:rsidR="00B93EE3" w:rsidRPr="00811F23" w:rsidRDefault="00B93EE3" w:rsidP="00B93EE3">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r w:rsidRPr="00811F23">
        <w:rPr>
          <w:rFonts w:cs="Times New Roman"/>
        </w:rPr>
        <w:t>.........................................................................................................................................</w:t>
      </w:r>
    </w:p>
    <w:p w:rsidR="00B93EE3" w:rsidRPr="00811F23" w:rsidRDefault="00B93EE3" w:rsidP="00B93EE3">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r w:rsidRPr="00811F23">
        <w:rPr>
          <w:rFonts w:cs="Times New Roman"/>
        </w:rPr>
        <w:t>.........................................................................................................................................</w:t>
      </w:r>
    </w:p>
    <w:p w:rsidR="00B93EE3" w:rsidRPr="00811F23" w:rsidRDefault="00B93EE3" w:rsidP="00B93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r w:rsidRPr="00811F23">
        <w:rPr>
          <w:rFonts w:cs="Times New Roman"/>
          <w:b/>
          <w:bCs/>
          <w:sz w:val="20"/>
          <w:szCs w:val="20"/>
        </w:rPr>
        <w:t>(2)</w:t>
      </w:r>
    </w:p>
    <w:p w:rsidR="00B93EE3" w:rsidRPr="00FF4C95" w:rsidRDefault="00B93EE3" w:rsidP="00B93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r w:rsidRPr="00811F23">
        <w:rPr>
          <w:rFonts w:cs="Times New Roman"/>
          <w:b/>
          <w:bCs/>
          <w:sz w:val="20"/>
          <w:szCs w:val="20"/>
        </w:rPr>
        <w:lastRenderedPageBreak/>
        <w:t>(Total 6 marks)</w:t>
      </w:r>
    </w:p>
    <w:p w:rsidR="00B93EE3" w:rsidRPr="00FF4C95" w:rsidRDefault="00B93EE3" w:rsidP="00B93EE3">
      <w:pPr>
        <w:pStyle w:val="ListParagraph"/>
        <w:numPr>
          <w:ilvl w:val="0"/>
          <w:numId w:val="5"/>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right="567"/>
        <w:rPr>
          <w:rFonts w:cs="Times New Roman"/>
        </w:rPr>
      </w:pPr>
      <w:r w:rsidRPr="00FF4C95">
        <w:rPr>
          <w:rFonts w:cs="Times New Roman"/>
        </w:rPr>
        <w:t xml:space="preserve">Two groups of 15 rats were trained to escape from an electric shock that was applied to one compartment of their cages. For one group (labelled </w:t>
      </w:r>
      <w:proofErr w:type="spellStart"/>
      <w:r w:rsidRPr="00FF4C95">
        <w:rPr>
          <w:rFonts w:cs="Times New Roman"/>
        </w:rPr>
        <w:t>EscD</w:t>
      </w:r>
      <w:proofErr w:type="spellEnd"/>
      <w:r w:rsidRPr="00FF4C95">
        <w:rPr>
          <w:rFonts w:cs="Times New Roman"/>
        </w:rPr>
        <w:t>) the shock coincided with switching off the light, resulting in darkness in that compartment. The training was repeated for five sessions. The graphs below show the mean results for the two groups.</w:t>
      </w:r>
    </w:p>
    <w:p w:rsidR="00B93EE3" w:rsidRPr="00FF4C95" w:rsidRDefault="00B93EE3" w:rsidP="00B93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jc w:val="center"/>
        <w:rPr>
          <w:rFonts w:cs="Times New Roman"/>
        </w:rPr>
      </w:pPr>
      <w:r w:rsidRPr="00FF4C95">
        <w:rPr>
          <w:rFonts w:cs="Times New Roman"/>
          <w:noProof/>
        </w:rPr>
        <w:drawing>
          <wp:inline distT="0" distB="0" distL="0" distR="0" wp14:anchorId="6DB4E034" wp14:editId="4F0A21A7">
            <wp:extent cx="5753100" cy="23907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753100" cy="2390775"/>
                    </a:xfrm>
                    <a:prstGeom prst="rect">
                      <a:avLst/>
                    </a:prstGeom>
                    <a:noFill/>
                    <a:ln w="9525">
                      <a:noFill/>
                      <a:miter lim="800000"/>
                      <a:headEnd/>
                      <a:tailEnd/>
                    </a:ln>
                  </pic:spPr>
                </pic:pic>
              </a:graphicData>
            </a:graphic>
          </wp:inline>
        </w:drawing>
      </w:r>
    </w:p>
    <w:p w:rsidR="00B93EE3" w:rsidRPr="00FF4C95" w:rsidRDefault="00B93EE3" w:rsidP="00B93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right="1134"/>
        <w:jc w:val="right"/>
        <w:rPr>
          <w:rFonts w:cs="Times New Roman"/>
          <w:sz w:val="18"/>
          <w:szCs w:val="18"/>
        </w:rPr>
      </w:pPr>
      <w:r w:rsidRPr="00FF4C95">
        <w:rPr>
          <w:rFonts w:cs="Times New Roman"/>
          <w:sz w:val="18"/>
          <w:szCs w:val="18"/>
        </w:rPr>
        <w:t xml:space="preserve">[Source: K. Zielinski and </w:t>
      </w:r>
      <w:proofErr w:type="spellStart"/>
      <w:r w:rsidRPr="00FF4C95">
        <w:rPr>
          <w:rFonts w:cs="Times New Roman"/>
          <w:sz w:val="18"/>
          <w:szCs w:val="18"/>
        </w:rPr>
        <w:t>Savonenko</w:t>
      </w:r>
      <w:proofErr w:type="spellEnd"/>
      <w:r w:rsidRPr="00FF4C95">
        <w:rPr>
          <w:rFonts w:cs="Times New Roman"/>
          <w:sz w:val="18"/>
          <w:szCs w:val="18"/>
        </w:rPr>
        <w:t xml:space="preserve">, (2000), </w:t>
      </w:r>
      <w:proofErr w:type="spellStart"/>
      <w:r w:rsidRPr="00FF4C95">
        <w:rPr>
          <w:rFonts w:cs="Times New Roman"/>
          <w:i/>
          <w:iCs/>
          <w:sz w:val="18"/>
          <w:szCs w:val="18"/>
        </w:rPr>
        <w:t>Acta</w:t>
      </w:r>
      <w:proofErr w:type="spellEnd"/>
      <w:r w:rsidRPr="00FF4C95">
        <w:rPr>
          <w:rFonts w:cs="Times New Roman"/>
          <w:i/>
          <w:iCs/>
          <w:sz w:val="18"/>
          <w:szCs w:val="18"/>
        </w:rPr>
        <w:t xml:space="preserve"> </w:t>
      </w:r>
      <w:proofErr w:type="spellStart"/>
      <w:r w:rsidRPr="00FF4C95">
        <w:rPr>
          <w:rFonts w:cs="Times New Roman"/>
          <w:i/>
          <w:iCs/>
          <w:sz w:val="18"/>
          <w:szCs w:val="18"/>
        </w:rPr>
        <w:t>Neurobiol</w:t>
      </w:r>
      <w:proofErr w:type="spellEnd"/>
      <w:r w:rsidRPr="00FF4C95">
        <w:rPr>
          <w:rFonts w:cs="Times New Roman"/>
          <w:i/>
          <w:iCs/>
          <w:sz w:val="18"/>
          <w:szCs w:val="18"/>
        </w:rPr>
        <w:t xml:space="preserve">. </w:t>
      </w:r>
      <w:proofErr w:type="spellStart"/>
      <w:r w:rsidRPr="00FF4C95">
        <w:rPr>
          <w:rFonts w:cs="Times New Roman"/>
          <w:i/>
          <w:iCs/>
          <w:sz w:val="18"/>
          <w:szCs w:val="18"/>
        </w:rPr>
        <w:t>Exp</w:t>
      </w:r>
      <w:proofErr w:type="spellEnd"/>
      <w:r w:rsidRPr="00FF4C95">
        <w:rPr>
          <w:rFonts w:cs="Times New Roman"/>
          <w:sz w:val="18"/>
          <w:szCs w:val="18"/>
        </w:rPr>
        <w:t xml:space="preserve">, </w:t>
      </w:r>
      <w:r w:rsidRPr="00FF4C95">
        <w:rPr>
          <w:rFonts w:cs="Times New Roman"/>
          <w:b/>
          <w:bCs/>
          <w:sz w:val="18"/>
          <w:szCs w:val="18"/>
        </w:rPr>
        <w:t>60</w:t>
      </w:r>
      <w:r w:rsidRPr="00FF4C95">
        <w:rPr>
          <w:rFonts w:cs="Times New Roman"/>
          <w:sz w:val="18"/>
          <w:szCs w:val="18"/>
        </w:rPr>
        <w:t>, pages 457-465]</w:t>
      </w:r>
    </w:p>
    <w:p w:rsidR="00B93EE3" w:rsidRPr="00FF4C95" w:rsidRDefault="00B93EE3" w:rsidP="00B93EE3">
      <w:pPr>
        <w:tabs>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701" w:right="567" w:hanging="1134"/>
        <w:rPr>
          <w:rFonts w:cs="Times New Roman"/>
        </w:rPr>
      </w:pPr>
      <w:r w:rsidRPr="00FF4C95">
        <w:rPr>
          <w:rFonts w:cs="Times New Roman"/>
        </w:rPr>
        <w:t>(a)</w:t>
      </w:r>
      <w:r w:rsidRPr="00FF4C95">
        <w:rPr>
          <w:rFonts w:cs="Times New Roman"/>
        </w:rPr>
        <w:tab/>
        <w:t>(</w:t>
      </w:r>
      <w:proofErr w:type="spellStart"/>
      <w:proofErr w:type="gramStart"/>
      <w:r w:rsidRPr="00FF4C95">
        <w:rPr>
          <w:rFonts w:cs="Times New Roman"/>
        </w:rPr>
        <w:t>i</w:t>
      </w:r>
      <w:proofErr w:type="spellEnd"/>
      <w:proofErr w:type="gramEnd"/>
      <w:r w:rsidRPr="00FF4C95">
        <w:rPr>
          <w:rFonts w:cs="Times New Roman"/>
        </w:rPr>
        <w:t>)</w:t>
      </w:r>
      <w:r w:rsidRPr="00FF4C95">
        <w:rPr>
          <w:rFonts w:cs="Times New Roman"/>
        </w:rPr>
        <w:tab/>
        <w:t>Calculate the difference in escape times in session 1 between the two groups.</w:t>
      </w:r>
    </w:p>
    <w:p w:rsidR="00B93EE3" w:rsidRPr="00FF4C95" w:rsidRDefault="00B93EE3" w:rsidP="00B93EE3">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FF4C95">
        <w:rPr>
          <w:rFonts w:cs="Times New Roman"/>
        </w:rPr>
        <w:t>...............................................................................................................................</w:t>
      </w:r>
    </w:p>
    <w:p w:rsidR="00B93EE3" w:rsidRPr="00FF4C95" w:rsidRDefault="00B93EE3" w:rsidP="00B93EE3">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FF4C95">
        <w:rPr>
          <w:rFonts w:cs="Times New Roman"/>
        </w:rPr>
        <w:t>...............................................................................................................................</w:t>
      </w:r>
    </w:p>
    <w:p w:rsidR="00B93EE3" w:rsidRPr="00FF4C95" w:rsidRDefault="00B93EE3" w:rsidP="00B93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r w:rsidRPr="00FF4C95">
        <w:rPr>
          <w:rFonts w:cs="Times New Roman"/>
          <w:b/>
          <w:bCs/>
          <w:sz w:val="20"/>
          <w:szCs w:val="20"/>
        </w:rPr>
        <w:t>(1)</w:t>
      </w:r>
    </w:p>
    <w:p w:rsidR="00B93EE3" w:rsidRPr="00FF4C95" w:rsidRDefault="00B93EE3" w:rsidP="00B93EE3">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r w:rsidRPr="00FF4C95">
        <w:rPr>
          <w:rFonts w:cs="Times New Roman"/>
        </w:rPr>
        <w:t>(ii)</w:t>
      </w:r>
      <w:r w:rsidRPr="00FF4C95">
        <w:rPr>
          <w:rFonts w:cs="Times New Roman"/>
        </w:rPr>
        <w:tab/>
        <w:t>Suggest a reason for the difference.</w:t>
      </w:r>
    </w:p>
    <w:p w:rsidR="00B93EE3" w:rsidRPr="00FF4C95" w:rsidRDefault="00B93EE3" w:rsidP="00B93EE3">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FF4C95">
        <w:rPr>
          <w:rFonts w:cs="Times New Roman"/>
        </w:rPr>
        <w:t>...............................................................................................................................</w:t>
      </w:r>
    </w:p>
    <w:p w:rsidR="00B93EE3" w:rsidRPr="00FF4C95" w:rsidRDefault="00B93EE3" w:rsidP="00B93EE3">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FF4C95">
        <w:rPr>
          <w:rFonts w:cs="Times New Roman"/>
        </w:rPr>
        <w:t>...............................................................................................................................</w:t>
      </w:r>
    </w:p>
    <w:p w:rsidR="00B93EE3" w:rsidRPr="00FF4C95" w:rsidRDefault="00B93EE3" w:rsidP="00B93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r w:rsidRPr="00FF4C95">
        <w:rPr>
          <w:rFonts w:cs="Times New Roman"/>
          <w:b/>
          <w:bCs/>
          <w:sz w:val="20"/>
          <w:szCs w:val="20"/>
        </w:rPr>
        <w:t>(1)</w:t>
      </w:r>
    </w:p>
    <w:p w:rsidR="00B93EE3" w:rsidRPr="00FF4C95" w:rsidRDefault="00B93EE3" w:rsidP="00B93EE3">
      <w:pPr>
        <w:tabs>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701" w:right="567" w:hanging="1134"/>
        <w:rPr>
          <w:rFonts w:cs="Times New Roman"/>
        </w:rPr>
      </w:pPr>
      <w:r w:rsidRPr="00FF4C95">
        <w:rPr>
          <w:rFonts w:cs="Times New Roman"/>
        </w:rPr>
        <w:t>(b)</w:t>
      </w:r>
      <w:r w:rsidRPr="00FF4C95">
        <w:rPr>
          <w:rFonts w:cs="Times New Roman"/>
        </w:rPr>
        <w:tab/>
        <w:t>(</w:t>
      </w:r>
      <w:proofErr w:type="spellStart"/>
      <w:proofErr w:type="gramStart"/>
      <w:r w:rsidRPr="00FF4C95">
        <w:rPr>
          <w:rFonts w:cs="Times New Roman"/>
        </w:rPr>
        <w:t>i</w:t>
      </w:r>
      <w:proofErr w:type="spellEnd"/>
      <w:proofErr w:type="gramEnd"/>
      <w:r w:rsidRPr="00FF4C95">
        <w:rPr>
          <w:rFonts w:cs="Times New Roman"/>
        </w:rPr>
        <w:t>)</w:t>
      </w:r>
      <w:r w:rsidRPr="00FF4C95">
        <w:rPr>
          <w:rFonts w:cs="Times New Roman"/>
        </w:rPr>
        <w:tab/>
        <w:t>Compare the changes in escape times over the five sessions between the two groups.</w:t>
      </w:r>
    </w:p>
    <w:p w:rsidR="00B93EE3" w:rsidRPr="00FF4C95" w:rsidRDefault="00B93EE3" w:rsidP="00B93EE3">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FF4C95">
        <w:rPr>
          <w:rFonts w:cs="Times New Roman"/>
        </w:rPr>
        <w:t>...............................................................................................................................</w:t>
      </w:r>
    </w:p>
    <w:p w:rsidR="00B93EE3" w:rsidRPr="00FF4C95" w:rsidRDefault="00B93EE3" w:rsidP="00B93EE3">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FF4C95">
        <w:rPr>
          <w:rFonts w:cs="Times New Roman"/>
        </w:rPr>
        <w:t>...............................................................................................................................</w:t>
      </w:r>
    </w:p>
    <w:p w:rsidR="00B93EE3" w:rsidRPr="00FF4C95" w:rsidRDefault="00B93EE3" w:rsidP="00B93EE3">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FF4C95">
        <w:rPr>
          <w:rFonts w:cs="Times New Roman"/>
        </w:rPr>
        <w:t>...............................................................................................................................</w:t>
      </w:r>
    </w:p>
    <w:p w:rsidR="00B93EE3" w:rsidRPr="00FF4C95" w:rsidRDefault="00B93EE3" w:rsidP="00B93EE3">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FF4C95">
        <w:rPr>
          <w:rFonts w:cs="Times New Roman"/>
        </w:rPr>
        <w:t>...............................................................................................................................</w:t>
      </w:r>
    </w:p>
    <w:p w:rsidR="00B93EE3" w:rsidRPr="00FF4C95" w:rsidRDefault="00B93EE3" w:rsidP="00B93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r w:rsidRPr="00FF4C95">
        <w:rPr>
          <w:rFonts w:cs="Times New Roman"/>
          <w:b/>
          <w:bCs/>
          <w:sz w:val="20"/>
          <w:szCs w:val="20"/>
        </w:rPr>
        <w:t>(2)</w:t>
      </w:r>
    </w:p>
    <w:p w:rsidR="00B93EE3" w:rsidRPr="00FF4C95" w:rsidRDefault="00B93EE3" w:rsidP="00B93EE3">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r w:rsidRPr="00FF4C95">
        <w:rPr>
          <w:rFonts w:cs="Times New Roman"/>
        </w:rPr>
        <w:lastRenderedPageBreak/>
        <w:t>(ii)</w:t>
      </w:r>
      <w:r w:rsidRPr="00FF4C95">
        <w:rPr>
          <w:rFonts w:cs="Times New Roman"/>
        </w:rPr>
        <w:tab/>
        <w:t xml:space="preserve">Deduce, giving a reason, which group shows more evidence of learned </w:t>
      </w:r>
      <w:proofErr w:type="spellStart"/>
      <w:r w:rsidRPr="00FF4C95">
        <w:rPr>
          <w:rFonts w:cs="Times New Roman"/>
        </w:rPr>
        <w:t>behaviour</w:t>
      </w:r>
      <w:proofErr w:type="spellEnd"/>
      <w:r w:rsidRPr="00FF4C95">
        <w:rPr>
          <w:rFonts w:cs="Times New Roman"/>
        </w:rPr>
        <w:t>.</w:t>
      </w:r>
    </w:p>
    <w:p w:rsidR="00B93EE3" w:rsidRPr="00FF4C95" w:rsidRDefault="00B93EE3" w:rsidP="00B93EE3">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FF4C95">
        <w:rPr>
          <w:rFonts w:cs="Times New Roman"/>
        </w:rPr>
        <w:t>...............................................................................................................................</w:t>
      </w:r>
    </w:p>
    <w:p w:rsidR="00B93EE3" w:rsidRPr="00FF4C95" w:rsidRDefault="00B93EE3" w:rsidP="00B93EE3">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FF4C95">
        <w:rPr>
          <w:rFonts w:cs="Times New Roman"/>
        </w:rPr>
        <w:t>...............................................................................................................................</w:t>
      </w:r>
    </w:p>
    <w:p w:rsidR="00B93EE3" w:rsidRPr="00FF4C95" w:rsidRDefault="00B93EE3" w:rsidP="00B93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r w:rsidRPr="00FF4C95">
        <w:rPr>
          <w:rFonts w:cs="Times New Roman"/>
          <w:b/>
          <w:bCs/>
          <w:sz w:val="20"/>
          <w:szCs w:val="20"/>
        </w:rPr>
        <w:t>(1)</w:t>
      </w:r>
    </w:p>
    <w:p w:rsidR="00B93EE3" w:rsidRPr="00FF4C95" w:rsidRDefault="00B93EE3" w:rsidP="00B93EE3">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cs="Times New Roman"/>
        </w:rPr>
      </w:pPr>
      <w:r w:rsidRPr="00FF4C95">
        <w:rPr>
          <w:rFonts w:cs="Times New Roman"/>
        </w:rPr>
        <w:t>(c)</w:t>
      </w:r>
      <w:r w:rsidRPr="00FF4C95">
        <w:rPr>
          <w:rFonts w:cs="Times New Roman"/>
        </w:rPr>
        <w:tab/>
        <w:t xml:space="preserve">If the researchers were to continue their experiments with the group Esc and apply the same experimental conditions as for the group </w:t>
      </w:r>
      <w:proofErr w:type="spellStart"/>
      <w:r w:rsidRPr="00FF4C95">
        <w:rPr>
          <w:rFonts w:cs="Times New Roman"/>
        </w:rPr>
        <w:t>EscD</w:t>
      </w:r>
      <w:proofErr w:type="spellEnd"/>
      <w:r w:rsidRPr="00FF4C95">
        <w:rPr>
          <w:rFonts w:cs="Times New Roman"/>
        </w:rPr>
        <w:t>, predict what would happen to the escape times for the group Esc.</w:t>
      </w:r>
    </w:p>
    <w:p w:rsidR="00B93EE3" w:rsidRPr="00FF4C95" w:rsidRDefault="00B93EE3" w:rsidP="00B93EE3">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r w:rsidRPr="00FF4C95">
        <w:rPr>
          <w:rFonts w:cs="Times New Roman"/>
        </w:rPr>
        <w:t>.........................................................................................................................................</w:t>
      </w:r>
    </w:p>
    <w:p w:rsidR="00B93EE3" w:rsidRPr="00FF4C95" w:rsidRDefault="00B93EE3" w:rsidP="00B93EE3">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r w:rsidRPr="00FF4C95">
        <w:rPr>
          <w:rFonts w:cs="Times New Roman"/>
        </w:rPr>
        <w:t>.........................................................................................................................................</w:t>
      </w:r>
    </w:p>
    <w:p w:rsidR="00B93EE3" w:rsidRPr="00FF4C95" w:rsidRDefault="00B93EE3" w:rsidP="00B93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r w:rsidRPr="00FF4C95">
        <w:rPr>
          <w:rFonts w:cs="Times New Roman"/>
          <w:b/>
          <w:bCs/>
          <w:sz w:val="20"/>
          <w:szCs w:val="20"/>
        </w:rPr>
        <w:t>(1)</w:t>
      </w:r>
    </w:p>
    <w:p w:rsidR="00B93EE3" w:rsidRPr="00FF4C95" w:rsidRDefault="00B93EE3" w:rsidP="00B93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r w:rsidRPr="00FF4C95">
        <w:rPr>
          <w:rFonts w:cs="Times New Roman"/>
          <w:b/>
          <w:bCs/>
          <w:sz w:val="20"/>
          <w:szCs w:val="20"/>
        </w:rPr>
        <w:t>(Total 6 marks)</w:t>
      </w:r>
    </w:p>
    <w:p w:rsidR="00B93EE3" w:rsidRDefault="00B93EE3" w:rsidP="00B93EE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cs="Times New Roman"/>
        </w:rPr>
      </w:pPr>
    </w:p>
    <w:p w:rsidR="00AB39AD" w:rsidRDefault="00AB39AD"/>
    <w:sectPr w:rsidR="00AB3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A1761"/>
    <w:multiLevelType w:val="hybridMultilevel"/>
    <w:tmpl w:val="E0408006"/>
    <w:lvl w:ilvl="0" w:tplc="0C84A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8571F7"/>
    <w:multiLevelType w:val="hybridMultilevel"/>
    <w:tmpl w:val="E2E2958A"/>
    <w:lvl w:ilvl="0" w:tplc="0E80AD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8521E0"/>
    <w:multiLevelType w:val="hybridMultilevel"/>
    <w:tmpl w:val="5750EC22"/>
    <w:lvl w:ilvl="0" w:tplc="BF107F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2C25E2B"/>
    <w:multiLevelType w:val="hybridMultilevel"/>
    <w:tmpl w:val="9334944C"/>
    <w:lvl w:ilvl="0" w:tplc="14E88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782E1E"/>
    <w:multiLevelType w:val="hybridMultilevel"/>
    <w:tmpl w:val="42148F1C"/>
    <w:lvl w:ilvl="0" w:tplc="0D92E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E3"/>
    <w:rsid w:val="00580B75"/>
    <w:rsid w:val="00AB39AD"/>
    <w:rsid w:val="00B9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7FB1C-AF27-44FB-BF05-2D019FBC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EE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E3"/>
    <w:pPr>
      <w:ind w:left="720"/>
      <w:contextualSpacing/>
    </w:pPr>
  </w:style>
  <w:style w:type="character" w:styleId="Hyperlink">
    <w:name w:val="Hyperlink"/>
    <w:basedOn w:val="DefaultParagraphFont"/>
    <w:uiPriority w:val="99"/>
    <w:unhideWhenUsed/>
    <w:rsid w:val="00B93EE3"/>
    <w:rPr>
      <w:color w:val="0563C1" w:themeColor="hyperlink"/>
      <w:u w:val="single"/>
    </w:rPr>
  </w:style>
  <w:style w:type="table" w:styleId="TableGrid">
    <w:name w:val="Table Grid"/>
    <w:basedOn w:val="TableNormal"/>
    <w:uiPriority w:val="59"/>
    <w:rsid w:val="00B93EE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3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EE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www.youtube.com/watch?v=5G6ZR5lJg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5G6ZR5lJgT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
  <b:Source>
    <b:Tag>Ste104</b:Tag>
    <b:SourceType>InternetSite</b:SourceType>
    <b:Guid>{93A6B05D-1731-41C8-8A89-90FB2A45D2A5}</b:Guid>
    <b:Year>2010</b:Year>
    <b:Author>
      <b:Author>
        <b:NameList>
          <b:Person>
            <b:Last>Taylor</b:Last>
            <b:First>Stephen</b:First>
          </b:Person>
        </b:NameList>
      </b:Author>
    </b:Author>
    <b:InternetSiteTitle>Science Video Resources</b:InternetSiteTitle>
    <b:ProductionCompany>Wordpress</b:ProductionCompany>
    <b:URL>http://sciencevideos.wordpress.com</b:URL>
    <b:Title>Innate and Learned Behaviour (presentation)</b:Title>
    <b:RefOrder>1</b:RefOrder>
  </b:Source>
</b:Sources>
</file>

<file path=customXml/itemProps1.xml><?xml version="1.0" encoding="utf-8"?>
<ds:datastoreItem xmlns:ds="http://schemas.openxmlformats.org/officeDocument/2006/customXml" ds:itemID="{623B3D98-F263-4F0C-83B9-AFB1B3C7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Killory, Marie</dc:creator>
  <cp:keywords/>
  <dc:description/>
  <cp:lastModifiedBy>Killory, Marie</cp:lastModifiedBy>
  <cp:revision>1</cp:revision>
  <cp:lastPrinted>2013-11-15T17:53:00Z</cp:lastPrinted>
  <dcterms:created xsi:type="dcterms:W3CDTF">2013-11-15T17:51:00Z</dcterms:created>
  <dcterms:modified xsi:type="dcterms:W3CDTF">2013-11-15T18:29:00Z</dcterms:modified>
</cp:coreProperties>
</file>